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jc w:val="left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/>
        <w:jc w:val="center"/>
        <w:rPr>
          <w:rFonts w:hint="eastAsia" w:cs="仿宋_GB2312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cs="黑体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大连市工程</w:t>
      </w:r>
      <w:r>
        <w:rPr>
          <w:rFonts w:hint="eastAsia" w:cs="仿宋_GB2312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研究中心</w:t>
      </w:r>
    </w:p>
    <w:p>
      <w:pPr>
        <w:ind w:firstLine="640"/>
        <w:jc w:val="center"/>
        <w:rPr>
          <w:rFonts w:cs="黑体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建设项目资金申请报告编制提纲</w:t>
      </w:r>
    </w:p>
    <w:p>
      <w:pPr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项目摘要</w:t>
      </w:r>
    </w:p>
    <w:p>
      <w:pPr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简要概述项目建设情况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二、项目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建设的依据、背景与意义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技术发展与应用前景分析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国内外技术状况与发展趋势预测分析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技术发展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的比较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（包括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单位技术水平优势和劣势、关键技术突破点，在本行业所处的领先地位）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四、申报单位概况和建设条件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（一）申报单位及主要共建单位概况；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（二）已取得的主要科研成果及其水平；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（三）现有建设基础条件。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主要发展方向、任务与目标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工程研究中心主要发展方向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工程研究中心的主要功能与任务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工程研究中心拟进行技术突破的方向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工程研究中心的近期和中期目标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组织机构、管理与运行机制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建设项目法人单位概况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（包括法人组建情况或非法人形成建设项目共建情况）；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工程研究中心的机构设置与职责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主要技术带头人、管理人员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概况及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技术团队情况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运行和管理机制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科技研发成果</w:t>
      </w:r>
    </w:p>
    <w:p>
      <w:pPr>
        <w:ind w:firstLine="64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已授权、申请的各种专利情况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组织或参与国家标准、行业标准、企业标准的制定情况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建设方案</w:t>
      </w:r>
    </w:p>
    <w:p>
      <w:pPr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项目建设规模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项目建设内容（包括技术方案、设备方案和工程方       案及其合理性）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项目建设周期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bookmarkEnd w:id="0"/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项目建设地址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项目投资估算及资金筹措方案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项目总投资包括：固定资产投资和铺底流动资金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固定资产包括：装修改造工程、实验检测软硬件设备（含自制设备）购置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项目资金筹措方案及其落实情况：单位自筹资金、银行贷款、申请市政府补助资金使用计划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节能及环境影响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节能分析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环境影响评价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十一、项目经济和社会效益分析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申报前三年的经济效益情况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（二）初步经济效益分析；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（三）社会效益分析。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其他需说明的问题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、申报材料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真实性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企事业单位</w:t>
      </w:r>
      <w:r>
        <w:rPr>
          <w:rFonts w:eastAsia="仿宋_GB2312"/>
          <w:color w:val="000000"/>
          <w:kern w:val="0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实际控制人</w:t>
      </w:r>
      <w:r>
        <w:rPr>
          <w:rFonts w:eastAsia="仿宋_GB2312"/>
          <w:color w:val="000000"/>
          <w:kern w:val="0"/>
          <w:sz w:val="32"/>
          <w:szCs w:val="32"/>
        </w:rPr>
        <w:t>签名并加盖单位公章）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主要相关附件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申报单位营业执照（机构代码）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项目建设地址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证明材料；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财务审计报告，或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财务报表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附真实性声明；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工程研究中心管理制度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科技成果证明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银行贷款证明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证明，可登陆信用中国（辽宁大连）网站下载项目单位及法人代表信用报告；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会计事务所出具的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专项审计报告（项目单位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注册时间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2年年销售收入、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项目固定资产投资规模）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45DBC"/>
    <w:rsid w:val="2B1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2021-07-01T07:37:00Z</dcterms:created>
  <dc:creator>张清</dc:creator>
  <cp:lastModifiedBy>张清</cp:lastModifiedBy>
  <dcterms:modified xsi:type="dcterms:W3CDTF">2021-07-01T07:38:58Z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CEAB40EC2054453D86FD0902217AFC69</vt:lpwstr>
  </property>
</Properties>
</file>